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1090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8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88" w:type="dxa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z w:val="72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51"/>
                <w:kern w:val="0"/>
                <w:sz w:val="72"/>
                <w:szCs w:val="56"/>
                <w:fitText w:val="6480" w:id="886450640"/>
              </w:rPr>
              <w:t>乌兰察布市财政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3"/>
                <w:kern w:val="0"/>
                <w:sz w:val="72"/>
                <w:szCs w:val="56"/>
                <w:fitText w:val="6480" w:id="886450640"/>
              </w:rPr>
              <w:t>局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z w:val="72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z w:val="72"/>
                <w:szCs w:val="56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88" w:type="dxa"/>
            <w:vAlign w:val="center"/>
          </w:tcPr>
          <w:p>
            <w:pPr>
              <w:tabs>
                <w:tab w:val="center" w:pos="4153"/>
              </w:tabs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72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51"/>
                <w:kern w:val="0"/>
                <w:sz w:val="72"/>
                <w:szCs w:val="56"/>
                <w:fitText w:val="6480" w:id="886450640"/>
              </w:rPr>
              <w:t>乌兰察布市民政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3"/>
                <w:kern w:val="0"/>
                <w:sz w:val="72"/>
                <w:szCs w:val="56"/>
                <w:fitText w:val="6480" w:id="886450640"/>
              </w:rPr>
              <w:t>局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sz w:val="72"/>
                <w:szCs w:val="56"/>
              </w:rPr>
            </w:pPr>
          </w:p>
        </w:tc>
      </w:tr>
    </w:tbl>
    <w:p>
      <w:pPr>
        <w:tabs>
          <w:tab w:val="center" w:pos="4153"/>
        </w:tabs>
        <w:rPr>
          <w:rFonts w:asciiTheme="majorEastAsia" w:hAnsiTheme="majorEastAsia" w:eastAsiaTheme="majorEastAsia"/>
          <w:sz w:val="32"/>
          <w:szCs w:val="36"/>
        </w:rPr>
      </w:pPr>
    </w:p>
    <w:p>
      <w:pPr>
        <w:autoSpaceDE w:val="0"/>
        <w:spacing w:line="600" w:lineRule="exact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pacing w:line="4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乌财社〔202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420" w:lineRule="exact"/>
        <w:rPr>
          <w:b/>
          <w:sz w:val="44"/>
          <w:szCs w:val="44"/>
          <w:u w:val="single"/>
        </w:rPr>
      </w:pPr>
    </w:p>
    <w:p>
      <w:pPr>
        <w:spacing w:line="420" w:lineRule="exact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-1905</wp:posOffset>
                </wp:positionV>
                <wp:extent cx="5592445" cy="10795"/>
                <wp:effectExtent l="0" t="0" r="0" b="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1079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2.95pt;margin-top:-0.15pt;height:0.85pt;width:440.35pt;z-index:251659264;mso-width-relative:page;mso-height-relative:page;" filled="f" stroked="t" coordsize="21600,21600" o:gfxdata="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zd331QAAAAYBAAAPAAAAAAAAAAEAIAAAACIAAABkcnMvZG93bnJldi54bWxQ&#10;SwECFAAUAAAACACHTuJADVC6LPoBAADoAwAADgAAAAAAAAABACAAAAAk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关于下达202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高龄津贴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补助资金的通知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各旗县市区财政局、民政局:</w:t>
      </w: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根据《内蒙古自治区高龄津贴补助资金管理办法》（内财社规</w:t>
      </w:r>
      <w:r>
        <w:rPr>
          <w:rFonts w:hint="eastAsia" w:ascii="宋体" w:hAnsi="宋体" w:eastAsia="宋体" w:cs="宋体"/>
          <w:sz w:val="32"/>
          <w:szCs w:val="32"/>
        </w:rPr>
        <w:t>〔2</w:t>
      </w:r>
      <w:r>
        <w:rPr>
          <w:rFonts w:hint="eastAsia" w:ascii="仿宋" w:hAnsi="仿宋" w:eastAsia="仿宋"/>
          <w:sz w:val="32"/>
          <w:szCs w:val="32"/>
        </w:rPr>
        <w:t>019〕4号）要求，为提高预算完整性，加快支出进度，全面落实市党委、政府关于为80岁以上老年人发放高龄津贴的相关政策，经研究，现下达你旗县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年市级高龄津贴补助资金（详见附件）。</w:t>
      </w:r>
    </w:p>
    <w:p>
      <w:pPr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此项资金列入《202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年政府收支分类科目》第2081002项“老年福利”科目。请各地严格按照相关政策规定，专款专用，及时足额将高龄津贴发放到位，切实保障好高龄老人的基本生活。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left="2238" w:leftChars="304" w:hanging="1600" w:hangingChars="5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2024年市级高龄津贴补助资金分配表</w:t>
      </w:r>
    </w:p>
    <w:p>
      <w:pPr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280" w:firstLineChars="16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280" w:firstLineChars="16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280" w:firstLineChars="16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5280" w:firstLineChars="16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乌兰察布市财政局             乌兰察布市民政局</w:t>
      </w:r>
    </w:p>
    <w:p>
      <w:pPr>
        <w:spacing w:line="560" w:lineRule="exact"/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  <w:u w:val="single"/>
        </w:rPr>
        <w:t>信息公开选项：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依申请公开                              </w:t>
      </w:r>
    </w:p>
    <w:p>
      <w:pPr>
        <w:tabs>
          <w:tab w:val="center" w:pos="4153"/>
        </w:tabs>
        <w:rPr>
          <w:rFonts w:asciiTheme="majorEastAsia" w:hAnsiTheme="majorEastAsia" w:eastAsiaTheme="majorEastAsia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乌兰察布市财政局办公室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202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single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日印发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8C656E-2B52-409F-8190-2EF32778F8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74152E-9C8A-4EBB-860C-AF26E9FE471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98A647D-1E34-4FB7-B493-9D97AE3018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AE47452-2647-4BB3-94AA-E04FC863160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Dk5Mzk0ODMwZWY5NmUxN2FhODcwMTI4ZmMxNzAifQ=="/>
  </w:docVars>
  <w:rsids>
    <w:rsidRoot w:val="35092C95"/>
    <w:rsid w:val="1D026BC4"/>
    <w:rsid w:val="35092C95"/>
    <w:rsid w:val="45531B4B"/>
    <w:rsid w:val="58250BA8"/>
    <w:rsid w:val="5D1C6B03"/>
    <w:rsid w:val="60C56EFB"/>
    <w:rsid w:val="6B0A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364</Characters>
  <Lines>0</Lines>
  <Paragraphs>0</Paragraphs>
  <TotalTime>3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2023-10-20T07:26:00Z</dcterms:created>
  <dc:creator>婧轩 faye</dc:creator>
  <cp:lastModifiedBy>...</cp:lastModifiedBy>
  <cp:lastPrinted>2024-06-27T10:30:37Z</cp:lastPrinted>
  <dcterms:modified xsi:type="dcterms:W3CDTF">2024-06-27T10:30:47Z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19881BFB41CB4FD3BC08F95C8A07B19F_13</vt:lpwstr>
  </property>
</Properties>
</file>