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36"/>
          <w:lang w:val="en-US" w:eastAsia="zh-CN"/>
        </w:rPr>
      </w:pPr>
    </w:p>
    <w:p>
      <w:pPr>
        <w:jc w:val="center"/>
        <w:rPr>
          <w:rFonts w:hint="eastAsia" w:ascii="方正小标宋简体" w:hAnsi="方正小标宋简体" w:eastAsia="方正小标宋简体" w:cs="方正小标宋简体"/>
          <w:sz w:val="44"/>
          <w:szCs w:val="36"/>
          <w:lang w:val="en-US" w:eastAsia="zh-CN"/>
        </w:rPr>
      </w:pPr>
    </w:p>
    <w:p>
      <w:pPr>
        <w:jc w:val="center"/>
        <w:rPr>
          <w:rFonts w:hint="eastAsia" w:ascii="方正小标宋简体" w:hAnsi="方正小标宋简体" w:eastAsia="方正小标宋简体" w:cs="方正小标宋简体"/>
          <w:sz w:val="44"/>
          <w:szCs w:val="36"/>
          <w:lang w:val="en-US" w:eastAsia="zh-CN"/>
        </w:rPr>
      </w:pPr>
    </w:p>
    <w:p>
      <w:pPr>
        <w:jc w:val="center"/>
        <w:rPr>
          <w:rFonts w:hint="eastAsia" w:ascii="方正小标宋简体" w:hAnsi="方正小标宋简体" w:eastAsia="方正小标宋简体" w:cs="方正小标宋简体"/>
          <w:sz w:val="44"/>
          <w:szCs w:val="36"/>
          <w:lang w:val="en-US" w:eastAsia="zh-CN"/>
        </w:rPr>
      </w:pPr>
    </w:p>
    <w:p>
      <w:pPr>
        <w:jc w:val="center"/>
        <w:rPr>
          <w:rFonts w:hint="eastAsia" w:ascii="方正小标宋简体" w:hAnsi="方正小标宋简体" w:eastAsia="方正小标宋简体" w:cs="方正小标宋简体"/>
          <w:sz w:val="44"/>
          <w:szCs w:val="36"/>
          <w:lang w:val="en-US" w:eastAsia="zh-CN"/>
        </w:rPr>
      </w:pPr>
    </w:p>
    <w:p>
      <w:pPr>
        <w:jc w:val="center"/>
        <w:rPr>
          <w:rFonts w:hint="eastAsia" w:ascii="方正小标宋简体" w:hAnsi="方正小标宋简体" w:eastAsia="方正小标宋简体" w:cs="方正小标宋简体"/>
          <w:sz w:val="44"/>
          <w:szCs w:val="36"/>
          <w:lang w:val="en-US" w:eastAsia="zh-CN"/>
        </w:rPr>
      </w:pPr>
    </w:p>
    <w:p>
      <w:pPr>
        <w:jc w:val="center"/>
        <w:rPr>
          <w:rFonts w:hint="eastAsia" w:ascii="方正小标宋简体" w:hAnsi="方正小标宋简体" w:eastAsia="方正小标宋简体" w:cs="方正小标宋简体"/>
          <w:sz w:val="40"/>
          <w:szCs w:val="32"/>
          <w:lang w:val="en-US" w:eastAsia="zh-CN"/>
        </w:rPr>
      </w:pPr>
    </w:p>
    <w:p>
      <w:pPr>
        <w:jc w:val="both"/>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乌财</w:t>
      </w:r>
      <w:r>
        <w:rPr>
          <w:rFonts w:hint="eastAsia" w:ascii="仿宋_GB2312" w:hAnsi="仿宋_GB2312" w:cs="仿宋_GB2312"/>
          <w:sz w:val="32"/>
          <w:szCs w:val="24"/>
          <w:lang w:val="en-US" w:eastAsia="zh-CN"/>
        </w:rPr>
        <w:t>绩</w:t>
      </w:r>
      <w:r>
        <w:rPr>
          <w:rFonts w:hint="eastAsia" w:ascii="仿宋_GB2312" w:hAnsi="仿宋_GB2312" w:eastAsia="仿宋_GB2312" w:cs="仿宋_GB2312"/>
          <w:bCs/>
          <w:sz w:val="32"/>
          <w:szCs w:val="32"/>
        </w:rPr>
        <w:t>〔202</w:t>
      </w:r>
      <w:r>
        <w:rPr>
          <w:rFonts w:hint="eastAsia" w:ascii="仿宋_GB2312" w:hAnsi="仿宋_GB2312" w:cs="仿宋_GB2312"/>
          <w:bCs/>
          <w:sz w:val="32"/>
          <w:szCs w:val="32"/>
          <w:lang w:val="en-US" w:eastAsia="zh-CN"/>
        </w:rPr>
        <w:t>4</w:t>
      </w:r>
      <w:r>
        <w:rPr>
          <w:rFonts w:hint="eastAsia" w:ascii="仿宋_GB2312" w:hAnsi="仿宋_GB2312" w:eastAsia="仿宋_GB2312" w:cs="仿宋_GB2312"/>
          <w:bCs/>
          <w:sz w:val="32"/>
          <w:szCs w:val="32"/>
        </w:rPr>
        <w:t>〕</w:t>
      </w: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sz w:val="32"/>
          <w:szCs w:val="24"/>
          <w:lang w:val="en-US" w:eastAsia="zh-CN"/>
        </w:rPr>
        <w:t>号</w:t>
      </w:r>
      <w:r>
        <w:rPr>
          <w:rFonts w:hint="eastAsia" w:ascii="仿宋_GB2312" w:hAnsi="仿宋_GB2312" w:cs="仿宋_GB2312"/>
          <w:sz w:val="32"/>
          <w:szCs w:val="24"/>
          <w:lang w:val="en-US" w:eastAsia="zh-CN"/>
        </w:rPr>
        <w:t xml:space="preserve">                         签发人：</w:t>
      </w:r>
    </w:p>
    <w:p>
      <w:pPr>
        <w:jc w:val="center"/>
        <w:rPr>
          <w:rFonts w:hint="eastAsia" w:ascii="方正小标宋简体" w:hAnsi="方正小标宋简体" w:eastAsia="方正小标宋简体" w:cs="方正小标宋简体"/>
          <w:sz w:val="44"/>
          <w:szCs w:val="36"/>
          <w:lang w:val="en-US" w:eastAsia="zh-CN"/>
        </w:rPr>
      </w:pPr>
    </w:p>
    <w:p>
      <w:pPr>
        <w:pStyle w:val="17"/>
        <w:spacing w:line="56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乌兰察布市财政局关于报送绩效管理</w:t>
      </w:r>
    </w:p>
    <w:p>
      <w:pPr>
        <w:pStyle w:val="17"/>
        <w:spacing w:line="56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重点推进旗县工作总结的报告</w:t>
      </w:r>
    </w:p>
    <w:p>
      <w:pPr>
        <w:keepNext w:val="0"/>
        <w:keepLines w:val="0"/>
        <w:pageBreakBefore w:val="0"/>
        <w:widowControl w:val="0"/>
        <w:kinsoku/>
        <w:wordWrap/>
        <w:overflowPunct/>
        <w:topLinePunct w:val="0"/>
        <w:autoSpaceDE/>
        <w:autoSpaceDN/>
        <w:bidi w:val="0"/>
        <w:spacing w:line="68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70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财政厅绩效管理处：</w:t>
      </w:r>
    </w:p>
    <w:p>
      <w:pPr>
        <w:keepNext w:val="0"/>
        <w:keepLines w:val="0"/>
        <w:pageBreakBefore w:val="0"/>
        <w:kinsoku/>
        <w:wordWrap/>
        <w:overflowPunct/>
        <w:topLinePunct w:val="0"/>
        <w:autoSpaceDE/>
        <w:autoSpaceDN/>
        <w:bidi w:val="0"/>
        <w:adjustRightInd/>
        <w:snapToGrid/>
        <w:spacing w:line="700" w:lineRule="exact"/>
        <w:ind w:left="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兰察布市财政局认真落实《内蒙古自治区财政厅关于下发全面实施预算绩效管理重点推进旗县工作考核指标体系的通知》（内财监〔2023〕444号）和《内蒙古自治区财政厅关于开展2023年绩效管理重点推进旗县考核验收工作的通知》（内财监函〔2024〕2号）有关要求，积极组织重点推进旗县做好全面预算绩效管理考核验收工作，现将有关情况报告如下。</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一、重点推进旗县预算绩效管理工作情况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leftChars="200" w:right="0" w:rightChars="0"/>
        <w:jc w:val="both"/>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（一）制度建设情况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right="0" w:rightChars="0"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kern w:val="2"/>
          <w:sz w:val="32"/>
          <w:szCs w:val="32"/>
          <w:lang w:val="en-US" w:eastAsia="zh-CN" w:bidi="ar-SA"/>
        </w:rPr>
        <w:t>市政府出台全面推进预算绩效管理实施意见，确定绩效管理基本原则和方针政策，明确工作目标和任务。市本级同步制定20项全面推行预算绩效管理工作方案和制度，同时</w:t>
      </w:r>
      <w:r>
        <w:rPr>
          <w:rFonts w:hint="eastAsia" w:ascii="仿宋" w:hAnsi="仿宋" w:eastAsia="仿宋" w:cs="仿宋"/>
          <w:b w:val="0"/>
          <w:bCs w:val="0"/>
          <w:sz w:val="32"/>
          <w:szCs w:val="32"/>
          <w:highlight w:val="none"/>
          <w:lang w:val="en-US" w:eastAsia="zh-CN"/>
        </w:rPr>
        <w:t>指导重点推进旗县制定</w:t>
      </w:r>
      <w:r>
        <w:rPr>
          <w:rFonts w:hint="eastAsia" w:ascii="仿宋" w:hAnsi="仿宋" w:eastAsia="仿宋" w:cs="仿宋"/>
          <w:sz w:val="32"/>
          <w:szCs w:val="32"/>
          <w:lang w:val="en-US" w:eastAsia="zh-CN"/>
        </w:rPr>
        <w:t>覆盖预算绩效管理全流程的制度体系，逐步形成了“重绩效、讲绩效、抓绩效”的浓厚氛围，基本建成了“全方位、全过程、全覆盖”的预算绩效管理体系。</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right="0" w:rightChars="0" w:firstLine="640" w:firstLineChars="200"/>
        <w:jc w:val="both"/>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（二）绩效自评情况</w:t>
      </w:r>
    </w:p>
    <w:p>
      <w:pPr>
        <w:pStyle w:val="8"/>
        <w:keepNext w:val="0"/>
        <w:keepLines w:val="0"/>
        <w:pageBreakBefore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2023年3个重点推进旗县都相应的开展了绩效自评，其中：</w:t>
      </w:r>
      <w:r>
        <w:rPr>
          <w:rFonts w:hint="eastAsia" w:ascii="仿宋" w:hAnsi="仿宋" w:eastAsia="仿宋" w:cs="仿宋"/>
          <w:spacing w:val="3"/>
          <w:sz w:val="32"/>
          <w:szCs w:val="32"/>
          <w:highlight w:val="none"/>
          <w:lang w:val="en-US" w:eastAsia="zh-CN"/>
        </w:rPr>
        <w:t>察右前旗</w:t>
      </w:r>
      <w:r>
        <w:rPr>
          <w:rFonts w:hint="eastAsia" w:ascii="仿宋" w:hAnsi="仿宋" w:eastAsia="仿宋" w:cs="仿宋"/>
          <w:color w:val="000000"/>
          <w:kern w:val="0"/>
          <w:sz w:val="32"/>
          <w:szCs w:val="32"/>
          <w:highlight w:val="none"/>
          <w:lang w:val="en-US" w:eastAsia="zh-CN" w:bidi="ar"/>
        </w:rPr>
        <w:t>完成 75 个部门整体和 2405 个项目的绩效自评，</w:t>
      </w:r>
      <w:r>
        <w:rPr>
          <w:rFonts w:hint="eastAsia" w:ascii="仿宋" w:hAnsi="仿宋" w:eastAsia="仿宋" w:cs="仿宋"/>
          <w:kern w:val="2"/>
          <w:sz w:val="32"/>
          <w:szCs w:val="32"/>
          <w:lang w:val="en-US" w:eastAsia="zh-CN" w:bidi="ar-SA"/>
        </w:rPr>
        <w:t>兴和县完成71个部门整体和1121个项目的绩效自评，</w:t>
      </w:r>
      <w:r>
        <w:rPr>
          <w:rFonts w:hint="eastAsia" w:ascii="仿宋" w:hAnsi="仿宋" w:eastAsia="仿宋" w:cs="仿宋"/>
          <w:b w:val="0"/>
          <w:bCs w:val="0"/>
          <w:sz w:val="32"/>
          <w:szCs w:val="32"/>
          <w:lang w:eastAsia="zh-CN"/>
        </w:rPr>
        <w:t>商都县完成</w:t>
      </w:r>
      <w:r>
        <w:rPr>
          <w:rFonts w:hint="eastAsia" w:ascii="仿宋" w:hAnsi="仿宋" w:eastAsia="仿宋" w:cs="仿宋"/>
          <w:sz w:val="32"/>
          <w:szCs w:val="32"/>
        </w:rPr>
        <w:t>75个部门整体</w:t>
      </w:r>
      <w:r>
        <w:rPr>
          <w:rFonts w:hint="eastAsia" w:ascii="仿宋" w:hAnsi="仿宋" w:eastAsia="仿宋" w:cs="仿宋"/>
          <w:sz w:val="32"/>
          <w:szCs w:val="32"/>
          <w:lang w:eastAsia="zh-CN"/>
        </w:rPr>
        <w:t>和</w:t>
      </w:r>
      <w:r>
        <w:rPr>
          <w:rFonts w:hint="eastAsia" w:ascii="仿宋" w:hAnsi="仿宋" w:eastAsia="仿宋" w:cs="仿宋"/>
          <w:sz w:val="32"/>
          <w:szCs w:val="32"/>
        </w:rPr>
        <w:t>1451个项目</w:t>
      </w:r>
      <w:r>
        <w:rPr>
          <w:rFonts w:hint="eastAsia" w:ascii="仿宋" w:hAnsi="仿宋" w:eastAsia="仿宋" w:cs="仿宋"/>
          <w:sz w:val="32"/>
          <w:szCs w:val="32"/>
          <w:lang w:eastAsia="zh-CN"/>
        </w:rPr>
        <w:t>的绩效</w:t>
      </w:r>
      <w:r>
        <w:rPr>
          <w:rFonts w:hint="eastAsia" w:ascii="仿宋" w:hAnsi="仿宋" w:eastAsia="仿宋" w:cs="仿宋"/>
          <w:sz w:val="32"/>
          <w:szCs w:val="32"/>
        </w:rPr>
        <w:t>自评</w:t>
      </w:r>
      <w:r>
        <w:rPr>
          <w:rFonts w:hint="eastAsia" w:ascii="仿宋" w:hAnsi="仿宋" w:eastAsia="仿宋" w:cs="仿宋"/>
          <w:sz w:val="32"/>
          <w:szCs w:val="32"/>
          <w:lang w:eastAsia="zh-CN"/>
        </w:rPr>
        <w:t>。均</w:t>
      </w:r>
      <w:r>
        <w:rPr>
          <w:rFonts w:hint="eastAsia" w:ascii="仿宋" w:hAnsi="仿宋" w:eastAsia="仿宋" w:cs="仿宋"/>
          <w:b w:val="0"/>
          <w:bCs w:val="0"/>
          <w:kern w:val="2"/>
          <w:sz w:val="32"/>
          <w:szCs w:val="32"/>
          <w:lang w:val="en-US" w:eastAsia="zh-CN" w:bidi="ar-SA"/>
        </w:rPr>
        <w:t>实现了部门整体和项目绩效自评全覆盖。</w:t>
      </w:r>
      <w:r>
        <w:rPr>
          <w:rFonts w:hint="eastAsia" w:ascii="仿宋" w:hAnsi="仿宋" w:eastAsia="仿宋" w:cs="仿宋"/>
          <w:color w:val="000000"/>
          <w:kern w:val="0"/>
          <w:sz w:val="32"/>
          <w:szCs w:val="32"/>
          <w:highlight w:val="none"/>
          <w:lang w:val="en-US" w:eastAsia="zh-CN" w:bidi="ar"/>
        </w:rPr>
        <w:t>在绩效自评的基础上按照项目数量覆盖率不低于总项目数量的30%，资金覆盖率不低于60%，部门整体自评实现全覆盖的标准开展抽查核验。</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right="0" w:rightChars="0" w:firstLine="640" w:firstLineChars="200"/>
        <w:jc w:val="both"/>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（三）重点绩效评价</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outlineLvl w:val="0"/>
        <w:rPr>
          <w:rFonts w:hint="eastAsia" w:ascii="仿宋" w:hAnsi="仿宋" w:eastAsia="仿宋" w:cs="仿宋"/>
          <w:sz w:val="32"/>
          <w:szCs w:val="32"/>
          <w:lang w:eastAsia="zh-CN"/>
        </w:rPr>
      </w:pPr>
      <w:r>
        <w:rPr>
          <w:rFonts w:hint="eastAsia" w:ascii="仿宋" w:hAnsi="仿宋" w:eastAsia="仿宋" w:cs="仿宋"/>
          <w:b w:val="0"/>
          <w:bCs w:val="0"/>
          <w:kern w:val="2"/>
          <w:sz w:val="32"/>
          <w:szCs w:val="32"/>
          <w:lang w:val="en-US" w:eastAsia="zh-CN" w:bidi="ar-SA"/>
        </w:rPr>
        <w:t>2023年3个重点推进旗县共选取了15个部门整体和42个项目开展重点绩效评价工作，</w:t>
      </w:r>
      <w:r>
        <w:rPr>
          <w:rFonts w:hint="eastAsia" w:ascii="仿宋" w:hAnsi="仿宋" w:eastAsia="仿宋" w:cs="仿宋"/>
          <w:color w:val="auto"/>
          <w:sz w:val="32"/>
          <w:szCs w:val="32"/>
          <w:highlight w:val="none"/>
          <w:lang w:val="en-US" w:eastAsia="zh-CN"/>
        </w:rPr>
        <w:t>其中：察右前旗5个部门整体和10个项目，</w:t>
      </w:r>
      <w:r>
        <w:rPr>
          <w:rFonts w:hint="eastAsia" w:ascii="仿宋" w:hAnsi="仿宋" w:eastAsia="仿宋" w:cs="仿宋"/>
          <w:kern w:val="2"/>
          <w:sz w:val="32"/>
          <w:szCs w:val="32"/>
          <w:lang w:val="en-US" w:eastAsia="zh-CN" w:bidi="ar-SA"/>
        </w:rPr>
        <w:t>兴和县</w:t>
      </w:r>
      <w:r>
        <w:rPr>
          <w:rFonts w:hint="eastAsia" w:ascii="仿宋" w:hAnsi="仿宋" w:eastAsia="仿宋" w:cs="仿宋"/>
          <w:sz w:val="32"/>
          <w:szCs w:val="32"/>
          <w:lang w:val="en-US" w:eastAsia="zh-CN"/>
        </w:rPr>
        <w:t>5个部门整体和12个</w:t>
      </w:r>
      <w:r>
        <w:rPr>
          <w:rFonts w:hint="eastAsia" w:ascii="仿宋" w:hAnsi="仿宋" w:eastAsia="仿宋" w:cs="仿宋"/>
          <w:sz w:val="32"/>
          <w:szCs w:val="32"/>
        </w:rPr>
        <w:t>项目</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商都</w:t>
      </w:r>
      <w:r>
        <w:rPr>
          <w:rFonts w:hint="eastAsia" w:ascii="仿宋" w:hAnsi="仿宋" w:eastAsia="仿宋" w:cs="仿宋"/>
          <w:sz w:val="32"/>
          <w:szCs w:val="32"/>
        </w:rPr>
        <w:t>县5个部门整体</w:t>
      </w:r>
      <w:r>
        <w:rPr>
          <w:rFonts w:hint="eastAsia" w:ascii="仿宋" w:hAnsi="仿宋" w:eastAsia="仿宋" w:cs="仿宋"/>
          <w:sz w:val="32"/>
          <w:szCs w:val="32"/>
          <w:lang w:eastAsia="zh-CN"/>
        </w:rPr>
        <w:t>和</w:t>
      </w:r>
      <w:r>
        <w:rPr>
          <w:rFonts w:hint="eastAsia" w:ascii="仿宋" w:hAnsi="仿宋" w:eastAsia="仿宋" w:cs="仿宋"/>
          <w:sz w:val="32"/>
          <w:szCs w:val="32"/>
        </w:rPr>
        <w:t>20个项目</w:t>
      </w:r>
      <w:r>
        <w:rPr>
          <w:rFonts w:hint="eastAsia" w:ascii="仿宋" w:hAnsi="仿宋" w:eastAsia="仿宋" w:cs="仿宋"/>
          <w:sz w:val="32"/>
          <w:szCs w:val="32"/>
          <w:lang w:eastAsia="zh-CN"/>
        </w:rPr>
        <w:t>。</w:t>
      </w:r>
      <w:r>
        <w:rPr>
          <w:rFonts w:hint="eastAsia" w:ascii="仿宋" w:hAnsi="仿宋" w:eastAsia="仿宋" w:cs="仿宋"/>
          <w:b w:val="0"/>
          <w:bCs w:val="0"/>
          <w:kern w:val="2"/>
          <w:sz w:val="32"/>
          <w:szCs w:val="32"/>
          <w:lang w:val="en-US" w:eastAsia="zh-CN" w:bidi="ar-SA"/>
        </w:rPr>
        <w:t>范围覆盖一般公共预算、政府性基金预算、社保基金预算，类型包含</w:t>
      </w:r>
      <w:r>
        <w:rPr>
          <w:rFonts w:hint="eastAsia" w:ascii="仿宋" w:hAnsi="仿宋" w:eastAsia="仿宋" w:cs="仿宋"/>
          <w:sz w:val="32"/>
          <w:szCs w:val="32"/>
        </w:rPr>
        <w:t>政府采购项目、政府债务（债券）项目、转移支付项目</w:t>
      </w:r>
      <w:r>
        <w:rPr>
          <w:rFonts w:hint="eastAsia" w:ascii="仿宋" w:hAnsi="仿宋" w:eastAsia="仿宋" w:cs="仿宋"/>
          <w:sz w:val="32"/>
          <w:szCs w:val="32"/>
          <w:lang w:eastAsia="zh-CN"/>
        </w:rPr>
        <w:t>以及</w:t>
      </w:r>
      <w:r>
        <w:rPr>
          <w:rFonts w:hint="eastAsia" w:ascii="仿宋" w:hAnsi="仿宋" w:eastAsia="仿宋" w:cs="仿宋"/>
          <w:color w:val="auto"/>
          <w:sz w:val="32"/>
          <w:szCs w:val="32"/>
          <w:highlight w:val="none"/>
          <w:lang w:val="en-US" w:eastAsia="zh-CN"/>
        </w:rPr>
        <w:t>部门整体支出和下级政府财政运行情况等。</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right="0" w:rightChars="0" w:firstLine="640" w:firstLineChars="200"/>
        <w:jc w:val="both"/>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（四）结果应用情况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700" w:lineRule="exact"/>
        <w:ind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kern w:val="2"/>
          <w:sz w:val="32"/>
          <w:szCs w:val="32"/>
          <w:lang w:val="en-US" w:eastAsia="zh-CN" w:bidi="ar-SA"/>
        </w:rPr>
        <w:t>市本级出台绩效管理结果应用暂行办法，指导重点推进旗县将事前绩效评估、绩效目标编审、绩效运行监控、绩效自评抽查核验以及重点评价结果均分别形成专题报告，报送人大和政府，并及时反馈相关预算单位进行整改。对事前绩效评估和绩效目标编审做法、绩效运行监控纠偏的经验、绩效评价形成的结果，均已作为下一年度预算安排和政策制定的重要参考依据，为推动预算绩效管理改革走向纵深打下了基础。2023年</w:t>
      </w:r>
      <w:r>
        <w:rPr>
          <w:rFonts w:hint="eastAsia" w:ascii="仿宋" w:hAnsi="仿宋" w:eastAsia="仿宋" w:cs="仿宋"/>
          <w:kern w:val="2"/>
          <w:sz w:val="32"/>
          <w:szCs w:val="32"/>
          <w:highlight w:val="none"/>
          <w:lang w:val="en-US" w:eastAsia="zh-CN" w:bidi="ar-SA"/>
        </w:rPr>
        <w:t>兴和县根据绩效评价结果，对评价项目存在的问题，及时反馈至预算部门和单位进行整改并将整改情况报送至财政部门。其中对部门整体支出评价结果低于80分的部门按1%的比例压减单位运转经费。</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right="0" w:rightChars="0" w:firstLine="640" w:firstLineChars="200"/>
        <w:jc w:val="both"/>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（五）指标体系建设情况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70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val="0"/>
          <w:bCs w:val="0"/>
          <w:kern w:val="2"/>
          <w:sz w:val="32"/>
          <w:szCs w:val="32"/>
          <w:lang w:val="en-US" w:eastAsia="zh-CN" w:bidi="ar-SA"/>
        </w:rPr>
        <w:t>市本级和11个旗县已建立起定量和定性相结合的共性绩效指标体系，以及分领域、分</w:t>
      </w:r>
      <w:r>
        <w:rPr>
          <w:rFonts w:hint="eastAsia" w:ascii="仿宋" w:hAnsi="仿宋" w:eastAsia="仿宋" w:cs="仿宋"/>
          <w:kern w:val="2"/>
          <w:sz w:val="32"/>
          <w:szCs w:val="32"/>
          <w:lang w:val="en-US" w:eastAsia="zh-CN" w:bidi="ar-SA"/>
        </w:rPr>
        <w:t>行业、分部门的个性绩效指标体系，并嵌入“预算管理一体化系统”，形成市县两级绩效指标库。目前我市</w:t>
      </w:r>
      <w:r>
        <w:rPr>
          <w:rFonts w:hint="eastAsia" w:ascii="仿宋" w:hAnsi="仿宋" w:eastAsia="仿宋" w:cs="仿宋"/>
          <w:b w:val="0"/>
          <w:bCs w:val="0"/>
          <w:kern w:val="2"/>
          <w:sz w:val="32"/>
          <w:szCs w:val="32"/>
          <w:lang w:val="en-US" w:eastAsia="zh-CN" w:bidi="ar-SA"/>
        </w:rPr>
        <w:t>绩效指标体系基本完善。</w:t>
      </w:r>
      <w:r>
        <w:rPr>
          <w:rFonts w:hint="eastAsia" w:ascii="仿宋" w:hAnsi="仿宋" w:eastAsia="仿宋" w:cs="仿宋"/>
          <w:sz w:val="32"/>
          <w:szCs w:val="32"/>
        </w:rPr>
        <w:t>绩效指标和标准体系与基本公共服务标准、部门预算项目支出标准等街接匹配，方便部门和单位</w:t>
      </w:r>
      <w:r>
        <w:rPr>
          <w:rFonts w:hint="eastAsia" w:ascii="仿宋" w:hAnsi="仿宋" w:eastAsia="仿宋" w:cs="仿宋"/>
          <w:sz w:val="32"/>
          <w:szCs w:val="32"/>
          <w:lang w:eastAsia="zh-CN"/>
        </w:rPr>
        <w:t>的</w:t>
      </w:r>
      <w:r>
        <w:rPr>
          <w:rFonts w:hint="eastAsia" w:ascii="仿宋" w:hAnsi="仿宋" w:eastAsia="仿宋" w:cs="仿宋"/>
          <w:sz w:val="32"/>
          <w:szCs w:val="32"/>
        </w:rPr>
        <w:t>应用</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既满足了预算单位在编报绩效目标等工作需求，又保证了编报绩效目标质量。</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(六）培训情况及信息化建设</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outlineLvl w:val="0"/>
        <w:rPr>
          <w:rFonts w:hint="eastAsia" w:ascii="仿宋" w:hAnsi="仿宋" w:eastAsia="仿宋" w:cs="仿宋"/>
          <w:lang w:val="en-US" w:eastAsia="zh-CN"/>
        </w:rPr>
      </w:pPr>
      <w:r>
        <w:rPr>
          <w:rFonts w:hint="eastAsia" w:ascii="仿宋" w:hAnsi="仿宋" w:eastAsia="仿宋" w:cs="仿宋"/>
          <w:color w:val="auto"/>
          <w:kern w:val="2"/>
          <w:sz w:val="32"/>
          <w:szCs w:val="32"/>
          <w:shd w:val="clear" w:color="070000" w:fill="FFFFFF"/>
          <w:lang w:val="en-US" w:eastAsia="zh-CN"/>
        </w:rPr>
        <w:t>2023年3个重点推进旗县组织部门开展各类培训</w:t>
      </w:r>
      <w:r>
        <w:rPr>
          <w:rFonts w:hint="eastAsia" w:ascii="仿宋" w:hAnsi="仿宋" w:eastAsia="仿宋" w:cs="仿宋"/>
          <w:color w:val="auto"/>
          <w:kern w:val="2"/>
          <w:sz w:val="32"/>
          <w:szCs w:val="32"/>
          <w:highlight w:val="none"/>
          <w:shd w:val="clear" w:color="070000" w:fill="FFFFFF"/>
          <w:lang w:val="en-US" w:eastAsia="zh-CN"/>
        </w:rPr>
        <w:t>16</w:t>
      </w:r>
      <w:r>
        <w:rPr>
          <w:rFonts w:hint="eastAsia" w:ascii="仿宋" w:hAnsi="仿宋" w:eastAsia="仿宋" w:cs="仿宋"/>
          <w:color w:val="auto"/>
          <w:kern w:val="2"/>
          <w:sz w:val="32"/>
          <w:szCs w:val="32"/>
          <w:shd w:val="clear" w:color="070000" w:fill="FFFFFF"/>
          <w:lang w:val="en-US" w:eastAsia="zh-CN"/>
        </w:rPr>
        <w:t>场。</w:t>
      </w:r>
      <w:r>
        <w:rPr>
          <w:rFonts w:hint="eastAsia" w:ascii="仿宋" w:hAnsi="仿宋" w:eastAsia="仿宋" w:cs="仿宋"/>
          <w:sz w:val="32"/>
          <w:szCs w:val="32"/>
        </w:rPr>
        <w:t>印制了《绩效评价和监督政策文件汇编》</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val="en-US" w:eastAsia="zh-CN"/>
        </w:rPr>
        <w:t>在各类网站上发布工作动态共计30余篇。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(七）信息公开情况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Cs w:val="32"/>
        </w:rPr>
      </w:pPr>
      <w:r>
        <w:rPr>
          <w:rFonts w:hint="eastAsia" w:ascii="仿宋" w:hAnsi="仿宋" w:eastAsia="仿宋" w:cs="仿宋"/>
          <w:lang w:val="en-US" w:eastAsia="zh-CN"/>
        </w:rPr>
        <w:t>按照《内蒙古自治区预算绩效管理信息公开管理办法》要求</w:t>
      </w:r>
      <w:r>
        <w:rPr>
          <w:rFonts w:hint="eastAsia" w:ascii="仿宋" w:hAnsi="仿宋" w:eastAsia="仿宋" w:cs="仿宋"/>
          <w:color w:val="auto"/>
          <w:szCs w:val="32"/>
          <w:highlight w:val="none"/>
          <w:lang w:val="en-US" w:eastAsia="zh-CN"/>
        </w:rPr>
        <w:t>，3个重点推进旗县</w:t>
      </w:r>
      <w:r>
        <w:rPr>
          <w:rFonts w:hint="eastAsia" w:ascii="仿宋" w:hAnsi="仿宋" w:eastAsia="仿宋" w:cs="仿宋"/>
          <w:b w:val="0"/>
          <w:bCs/>
          <w:szCs w:val="32"/>
          <w:lang w:val="en-US" w:eastAsia="zh-CN"/>
        </w:rPr>
        <w:t>全面开展</w:t>
      </w:r>
      <w:r>
        <w:rPr>
          <w:rFonts w:hint="eastAsia" w:ascii="仿宋" w:hAnsi="仿宋" w:eastAsia="仿宋" w:cs="仿宋"/>
          <w:kern w:val="2"/>
          <w:sz w:val="32"/>
          <w:szCs w:val="32"/>
          <w:lang w:val="en-US" w:eastAsia="zh-CN" w:bidi="ar-SA"/>
        </w:rPr>
        <w:t>事前绩效评估、绩效目标编审、绩效运行监控、绩效自评抽查核验以及重点评价，结果均分别形成专题报告报送人大和政府。</w:t>
      </w:r>
      <w:r>
        <w:rPr>
          <w:rFonts w:hint="eastAsia" w:ascii="仿宋" w:hAnsi="仿宋" w:eastAsia="仿宋" w:cs="仿宋"/>
          <w:szCs w:val="32"/>
        </w:rPr>
        <w:t>按照相关要求</w:t>
      </w:r>
      <w:r>
        <w:rPr>
          <w:rFonts w:hint="eastAsia" w:ascii="仿宋" w:hAnsi="仿宋" w:eastAsia="仿宋" w:cs="仿宋"/>
          <w:szCs w:val="32"/>
          <w:lang w:eastAsia="zh-CN"/>
        </w:rPr>
        <w:t>均</w:t>
      </w:r>
      <w:r>
        <w:rPr>
          <w:rFonts w:hint="eastAsia" w:ascii="仿宋" w:hAnsi="仿宋" w:eastAsia="仿宋" w:cs="仿宋"/>
          <w:szCs w:val="32"/>
        </w:rPr>
        <w:t>在</w:t>
      </w:r>
      <w:r>
        <w:rPr>
          <w:rFonts w:hint="eastAsia" w:ascii="仿宋" w:hAnsi="仿宋" w:eastAsia="仿宋" w:cs="仿宋"/>
          <w:szCs w:val="32"/>
          <w:lang w:eastAsia="zh-CN"/>
        </w:rPr>
        <w:t>旗县</w:t>
      </w:r>
      <w:r>
        <w:rPr>
          <w:rFonts w:hint="eastAsia" w:ascii="仿宋" w:hAnsi="仿宋" w:eastAsia="仿宋" w:cs="仿宋"/>
          <w:szCs w:val="32"/>
        </w:rPr>
        <w:t>政府网站、内蒙古自治区财政厅网站均进行了公开，</w:t>
      </w:r>
      <w:r>
        <w:rPr>
          <w:rFonts w:hint="eastAsia" w:ascii="仿宋" w:hAnsi="仿宋" w:eastAsia="仿宋" w:cs="仿宋"/>
          <w:szCs w:val="32"/>
          <w:lang w:eastAsia="zh-CN"/>
        </w:rPr>
        <w:t>并按要求绩效目标与部门预算同步公开，评价结果与决算同步公开，</w:t>
      </w:r>
      <w:r>
        <w:rPr>
          <w:rFonts w:hint="eastAsia" w:ascii="仿宋" w:hAnsi="仿宋" w:eastAsia="仿宋" w:cs="仿宋"/>
          <w:szCs w:val="32"/>
        </w:rPr>
        <w:t>接受社会各界监督。</w:t>
      </w:r>
    </w:p>
    <w:p>
      <w:pPr>
        <w:pStyle w:val="3"/>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、主要问题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楷体" w:hAnsi="楷体" w:eastAsia="楷体" w:cs="楷体"/>
          <w:sz w:val="32"/>
          <w:szCs w:val="32"/>
          <w:shd w:val="clear" w:color="070000" w:fill="FFFFFF"/>
        </w:rPr>
      </w:pPr>
      <w:r>
        <w:rPr>
          <w:rFonts w:hint="eastAsia" w:ascii="楷体" w:hAnsi="楷体" w:eastAsia="楷体" w:cs="楷体"/>
          <w:sz w:val="32"/>
          <w:szCs w:val="32"/>
          <w:shd w:val="clear" w:color="070000" w:fill="FFFFFF"/>
        </w:rPr>
        <w:t>（一）预算绩效理念薄弱，业务能力有待提高</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070000" w:fill="FFFFFF"/>
          <w:lang w:eastAsia="zh-CN"/>
        </w:rPr>
        <w:t>通过对重点推进旗县</w:t>
      </w:r>
      <w:r>
        <w:rPr>
          <w:rFonts w:hint="eastAsia" w:ascii="仿宋" w:hAnsi="仿宋" w:eastAsia="仿宋" w:cs="仿宋"/>
          <w:sz w:val="32"/>
          <w:szCs w:val="32"/>
        </w:rPr>
        <w:t>调研发现,</w:t>
      </w:r>
      <w:r>
        <w:rPr>
          <w:rFonts w:hint="eastAsia" w:ascii="仿宋" w:hAnsi="仿宋" w:eastAsia="仿宋" w:cs="仿宋"/>
          <w:sz w:val="32"/>
          <w:szCs w:val="32"/>
          <w:lang w:eastAsia="zh-CN"/>
        </w:rPr>
        <w:t>一些</w:t>
      </w:r>
      <w:r>
        <w:rPr>
          <w:rFonts w:hint="eastAsia" w:ascii="仿宋" w:hAnsi="仿宋" w:eastAsia="仿宋" w:cs="仿宋"/>
          <w:sz w:val="32"/>
          <w:szCs w:val="32"/>
        </w:rPr>
        <w:t>部门绩效管理意识薄弱，认为开展绩效管理工作主要是为应付上级工作要求和检查考核，增加了工作量,是在刻意找麻烦挑毛病，存在“不想做”现象；部分业务人员绩效业务不熟悉、缺乏实际工作经验和绩效业务技能，存在“不会做”情况。如，绩效目标表、绩效监控表、绩效自评表的填报和撰写的报告不规范、质量不高、报送不及时、部门不审核等问题。</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工作机制有待加强，责任主体尚未完全落实</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070000" w:fill="FFFFFF"/>
        </w:rPr>
        <w:t>预算绩效管理涉及各行业各领域，覆盖面广，专业性强,需要政府、财政和预算部门齐抓共管、形成合力、共同推进。调研发现，虽然绩效管理工作已纳入市党委政府对旗县党政领导班子考核体系，但未纳入对主管部门领导班子考核范围；财政内部虽然设置专门机构或配备了专职人员，具体负责绩效管理工作，但需要其他科室密切配合、合力推进的工作机制尚未建立；预算部门</w:t>
      </w:r>
      <w:r>
        <w:rPr>
          <w:rFonts w:hint="eastAsia" w:ascii="仿宋" w:hAnsi="仿宋" w:eastAsia="仿宋" w:cs="仿宋"/>
          <w:sz w:val="32"/>
          <w:szCs w:val="32"/>
        </w:rPr>
        <w:t>普遍认为绩效工作是财务部门的事，与主管项目的部门无关，预算绩效管理责任主体未落实到位。</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结果运用不充分,作用没有充分发挥</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kern w:val="0"/>
          <w:sz w:val="32"/>
          <w:szCs w:val="32"/>
          <w:u w:val="single"/>
        </w:rPr>
      </w:pPr>
      <w:r>
        <w:rPr>
          <w:rFonts w:hint="eastAsia" w:ascii="仿宋" w:hAnsi="仿宋" w:eastAsia="仿宋" w:cs="仿宋"/>
          <w:sz w:val="32"/>
          <w:szCs w:val="32"/>
        </w:rPr>
        <w:t>预算绩效管结果运用只是停留在发现问题、反映情况、督促整改等层面,未与预算安排调整挂钩等问题,通过结果运用提质增效的作用没有充分发挥</w:t>
      </w:r>
      <w:r>
        <w:rPr>
          <w:rFonts w:hint="eastAsia" w:ascii="仿宋" w:hAnsi="仿宋" w:eastAsia="仿宋" w:cs="仿宋"/>
          <w:kern w:val="0"/>
          <w:sz w:val="32"/>
          <w:szCs w:val="32"/>
        </w:rPr>
        <w:t>。</w:t>
      </w:r>
      <w:r>
        <w:rPr>
          <w:rFonts w:hint="eastAsia" w:ascii="仿宋" w:hAnsi="仿宋" w:eastAsia="仿宋" w:cs="仿宋"/>
          <w:sz w:val="32"/>
          <w:szCs w:val="32"/>
        </w:rPr>
        <w:t>主要原因是:尚未建立结果应用具体措施，缺乏制度性依据；绩效管理结果针对性不强、质量不高等。</w:t>
      </w:r>
    </w:p>
    <w:p>
      <w:pPr>
        <w:keepNext w:val="0"/>
        <w:keepLines w:val="0"/>
        <w:pageBreakBefore w:val="0"/>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、具体措施</w:t>
      </w:r>
    </w:p>
    <w:p>
      <w:pPr>
        <w:keepNext w:val="0"/>
        <w:keepLines w:val="0"/>
        <w:pageBreakBefore w:val="0"/>
        <w:kinsoku/>
        <w:wordWrap/>
        <w:overflowPunct/>
        <w:topLinePunct w:val="0"/>
        <w:autoSpaceDE/>
        <w:autoSpaceDN/>
        <w:bidi w:val="0"/>
        <w:adjustRightInd/>
        <w:snapToGrid/>
        <w:spacing w:line="7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（一）加强宣传引导,强化绩效理念</w:t>
      </w:r>
    </w:p>
    <w:p>
      <w:pPr>
        <w:keepNext w:val="0"/>
        <w:keepLines w:val="0"/>
        <w:pageBreakBefore w:val="0"/>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充分利用各种媒体，大力宣传预算绩效管理政策制度、工作动态、经验做法等，营造绩效氛围。</w:t>
      </w:r>
      <w:r>
        <w:rPr>
          <w:rFonts w:hint="eastAsia" w:ascii="仿宋" w:hAnsi="仿宋" w:eastAsia="仿宋" w:cs="仿宋"/>
          <w:b/>
          <w:bCs/>
          <w:sz w:val="32"/>
          <w:szCs w:val="32"/>
        </w:rPr>
        <w:t>二是</w:t>
      </w:r>
      <w:r>
        <w:rPr>
          <w:rFonts w:hint="eastAsia" w:ascii="仿宋" w:hAnsi="仿宋" w:eastAsia="仿宋" w:cs="仿宋"/>
          <w:sz w:val="32"/>
          <w:szCs w:val="32"/>
        </w:rPr>
        <w:t>采取召开会议、专题培训、制作小视屏、分类指导等多种形式,深入宣传讲解绩效管理的法律法规，工作流程,让绩效理念深入人心，让绩效专职人员熟知政策、知行合一。</w:t>
      </w:r>
      <w:r>
        <w:rPr>
          <w:rFonts w:hint="eastAsia" w:ascii="仿宋" w:hAnsi="仿宋" w:eastAsia="仿宋" w:cs="仿宋"/>
          <w:b/>
          <w:bCs/>
          <w:sz w:val="32"/>
          <w:szCs w:val="32"/>
        </w:rPr>
        <w:t>三是</w:t>
      </w:r>
      <w:r>
        <w:rPr>
          <w:rFonts w:hint="eastAsia" w:ascii="仿宋" w:hAnsi="仿宋" w:eastAsia="仿宋" w:cs="仿宋"/>
          <w:sz w:val="32"/>
          <w:szCs w:val="32"/>
        </w:rPr>
        <w:t>通过专题报告、情况通报、发整改通知和催办函等方式,积极向党政机关和主要领导报告工作,让主要领导及时掌握预算绩效管理推进情况、实际效果和存在的问题,以利于及时作出决策,支持并解决工作中出现的困难和问题。</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0" w:firstLineChars="200"/>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（二）</w:t>
      </w:r>
      <w:r>
        <w:rPr>
          <w:rFonts w:hint="eastAsia" w:ascii="楷体" w:hAnsi="楷体" w:eastAsia="楷体" w:cs="楷体"/>
          <w:kern w:val="0"/>
          <w:sz w:val="32"/>
          <w:szCs w:val="32"/>
        </w:rPr>
        <w:t>完善激励考核措施，健全工作推进机制</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建议将绩效管理纳入对主管部门领导班子考核体系，增强预算部门绩效管理主体责任意识。</w:t>
      </w:r>
      <w:r>
        <w:rPr>
          <w:rFonts w:hint="eastAsia" w:ascii="仿宋" w:hAnsi="仿宋" w:eastAsia="仿宋" w:cs="仿宋"/>
          <w:b/>
          <w:bCs/>
          <w:sz w:val="32"/>
          <w:szCs w:val="32"/>
        </w:rPr>
        <w:t>二是</w:t>
      </w:r>
      <w:r>
        <w:rPr>
          <w:rFonts w:hint="eastAsia" w:ascii="仿宋" w:hAnsi="仿宋" w:eastAsia="仿宋" w:cs="仿宋"/>
          <w:sz w:val="32"/>
          <w:szCs w:val="32"/>
        </w:rPr>
        <w:t>制定预算绩效管理工作规程，明确各科室的具体职责、任务、分工，规范工作流程，建立绩效科统筹协调、各相关科室密切配合，建立共同推进绩效管理的内部工作机制。</w:t>
      </w:r>
      <w:r>
        <w:rPr>
          <w:rFonts w:hint="eastAsia" w:ascii="仿宋" w:hAnsi="仿宋" w:eastAsia="仿宋" w:cs="仿宋"/>
          <w:b/>
          <w:bCs/>
          <w:sz w:val="32"/>
          <w:szCs w:val="32"/>
        </w:rPr>
        <w:t>三是</w:t>
      </w:r>
      <w:r>
        <w:rPr>
          <w:rFonts w:hint="eastAsia" w:ascii="仿宋" w:hAnsi="仿宋" w:eastAsia="仿宋" w:cs="仿宋"/>
          <w:sz w:val="32"/>
          <w:szCs w:val="32"/>
        </w:rPr>
        <w:t>列出年度任务清单，建立专门工作台账，</w:t>
      </w:r>
      <w:r>
        <w:rPr>
          <w:rFonts w:hint="eastAsia" w:ascii="仿宋" w:hAnsi="仿宋" w:eastAsia="仿宋" w:cs="仿宋"/>
          <w:sz w:val="32"/>
          <w:szCs w:val="32"/>
        </w:rPr>
        <w:t>实行挂账销号，年中督促指导，年末量化打分排名，向市委政府报告，在全市范围予以通报，确保按时保质保量完成任务。</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kern w:val="0"/>
          <w:sz w:val="32"/>
          <w:szCs w:val="32"/>
        </w:rPr>
      </w:pPr>
      <w:r>
        <w:rPr>
          <w:rFonts w:hint="eastAsia" w:ascii="楷体" w:hAnsi="楷体" w:eastAsia="楷体" w:cs="楷体"/>
          <w:kern w:val="0"/>
          <w:sz w:val="32"/>
          <w:szCs w:val="32"/>
          <w:lang w:eastAsia="zh-CN"/>
        </w:rPr>
        <w:t>（三）</w:t>
      </w:r>
      <w:r>
        <w:rPr>
          <w:rFonts w:hint="eastAsia" w:ascii="楷体" w:hAnsi="楷体" w:eastAsia="楷体" w:cs="楷体"/>
          <w:kern w:val="0"/>
          <w:sz w:val="32"/>
          <w:szCs w:val="32"/>
        </w:rPr>
        <w:t>强化结果应用,突出结果导向</w:t>
      </w:r>
    </w:p>
    <w:p>
      <w:pPr>
        <w:keepNext w:val="0"/>
        <w:keepLines w:val="0"/>
        <w:pageBreakBefore w:val="0"/>
        <w:widowControl w:val="0"/>
        <w:numPr>
          <w:numId w:val="0"/>
        </w:numPr>
        <w:kinsoku/>
        <w:wordWrap/>
        <w:overflowPunct/>
        <w:topLinePunct w:val="0"/>
        <w:autoSpaceDE/>
        <w:autoSpaceDN/>
        <w:bidi w:val="0"/>
        <w:adjustRightInd/>
        <w:snapToGrid/>
        <w:spacing w:line="7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研究出台市本级预算绩效管理结果应用具体措施，确定科室职责任务分工，规范工作规程，共同推动结果应用落实到位。</w:t>
      </w:r>
      <w:r>
        <w:rPr>
          <w:rFonts w:hint="eastAsia" w:ascii="仿宋" w:hAnsi="仿宋" w:eastAsia="仿宋" w:cs="仿宋"/>
          <w:b/>
          <w:bCs/>
          <w:sz w:val="32"/>
          <w:szCs w:val="32"/>
        </w:rPr>
        <w:t>二是</w:t>
      </w:r>
      <w:r>
        <w:rPr>
          <w:rFonts w:hint="eastAsia" w:ascii="仿宋" w:hAnsi="仿宋" w:eastAsia="仿宋" w:cs="仿宋"/>
          <w:sz w:val="32"/>
          <w:szCs w:val="32"/>
        </w:rPr>
        <w:t>成立由绩效科牵头，各相关科室为成员，邀请市人大财经委、审计局相关人员参加的绩效管理结果评审小组，对事前绩效评估和重点评价等报告进行集中会审，努力提升绩效管理结果质量。</w:t>
      </w:r>
      <w:r>
        <w:rPr>
          <w:rFonts w:hint="eastAsia" w:ascii="仿宋" w:hAnsi="仿宋" w:eastAsia="仿宋" w:cs="仿宋"/>
          <w:b/>
          <w:bCs/>
          <w:sz w:val="32"/>
          <w:szCs w:val="32"/>
        </w:rPr>
        <w:t>三是</w:t>
      </w:r>
      <w:r>
        <w:rPr>
          <w:rFonts w:hint="eastAsia" w:ascii="仿宋" w:hAnsi="仿宋" w:eastAsia="仿宋" w:cs="仿宋"/>
          <w:sz w:val="32"/>
          <w:szCs w:val="32"/>
        </w:rPr>
        <w:t>强化对第三方机构参与预算绩效工作的监管，由评审小组对参与本级预算绩效管理的第三方机构工作情况集体评判，按优、良、中、差四个挡次量化打分，并作为下一年度公开招投标选择第三方时的首选条件，对评为“中”和“差”的机构，按一定比例扣减服务费。</w:t>
      </w:r>
    </w:p>
    <w:p>
      <w:pPr>
        <w:pStyle w:val="3"/>
        <w:jc w:val="both"/>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textAlignment w:val="auto"/>
        <w:rPr>
          <w:rFonts w:hint="eastAsia" w:ascii="仿宋_GB2312" w:hAnsi="仿宋_GB2312" w:cs="仿宋_GB2312"/>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5120" w:firstLineChars="1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乌兰察布市财政局</w:t>
      </w:r>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5120" w:firstLineChars="16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2024年1月19日</w:t>
      </w:r>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textAlignment w:val="auto"/>
        <w:rPr>
          <w:rFonts w:hint="eastAsia" w:ascii="仿宋_GB2312" w:hAnsi="仿宋_GB2312" w:cs="仿宋_GB2312"/>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textAlignment w:val="auto"/>
        <w:rPr>
          <w:rFonts w:hint="eastAsia" w:ascii="仿宋_GB2312" w:hAnsi="仿宋_GB2312" w:cs="仿宋_GB2312"/>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textAlignment w:val="auto"/>
        <w:rPr>
          <w:rFonts w:hint="eastAsia" w:ascii="仿宋_GB2312" w:hAnsi="仿宋_GB2312" w:cs="仿宋_GB2312"/>
          <w:sz w:val="32"/>
          <w:szCs w:val="32"/>
          <w:lang w:val="en-US" w:eastAsia="zh-CN"/>
        </w:rPr>
      </w:pPr>
      <w:bookmarkStart w:id="0" w:name="_GoBack"/>
      <w:bookmarkEnd w:id="0"/>
    </w:p>
    <w:p>
      <w:pPr>
        <w:pStyle w:val="10"/>
        <w:keepNext w:val="0"/>
        <w:keepLines w:val="0"/>
        <w:pageBreakBefore w:val="0"/>
        <w:widowControl w:val="0"/>
        <w:kinsoku/>
        <w:wordWrap/>
        <w:overflowPunct/>
        <w:topLinePunct w:val="0"/>
        <w:autoSpaceDE/>
        <w:autoSpaceDN/>
        <w:bidi w:val="0"/>
        <w:adjustRightInd w:val="0"/>
        <w:snapToGrid w:val="0"/>
        <w:spacing w:line="680" w:lineRule="exact"/>
        <w:ind w:left="0" w:leftChars="0" w:firstLine="0" w:firstLineChars="0"/>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80" w:lineRule="exact"/>
        <w:textAlignment w:val="auto"/>
        <w:rPr>
          <w:rFonts w:hint="eastAsia" w:ascii="仿宋" w:hAnsi="仿宋" w:eastAsia="仿宋" w:cs="仿宋"/>
          <w:sz w:val="32"/>
          <w:szCs w:val="32"/>
          <w:u w:val="single"/>
        </w:rPr>
      </w:pPr>
      <w:r>
        <w:rPr>
          <w:rFonts w:hint="eastAsia" w:ascii="黑体" w:hAnsi="黑体" w:eastAsia="黑体" w:cs="黑体"/>
          <w:b w:val="0"/>
          <w:bCs w:val="0"/>
          <w:sz w:val="32"/>
          <w:szCs w:val="32"/>
          <w:u w:val="single"/>
        </w:rPr>
        <w:t>信息公开选项:</w:t>
      </w:r>
      <w:r>
        <w:rPr>
          <w:rFonts w:hint="eastAsia" w:ascii="仿宋" w:hAnsi="仿宋" w:eastAsia="仿宋" w:cs="仿宋"/>
          <w:sz w:val="32"/>
          <w:szCs w:val="32"/>
          <w:u w:val="single"/>
          <w:lang w:val="en-US" w:eastAsia="zh-CN"/>
        </w:rPr>
        <w:t>依申请公开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8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rPr>
        <w:t>乌兰察布市财政局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202</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19</w:t>
      </w:r>
      <w:r>
        <w:rPr>
          <w:rFonts w:hint="eastAsia" w:ascii="仿宋" w:hAnsi="仿宋" w:eastAsia="仿宋" w:cs="仿宋"/>
          <w:sz w:val="32"/>
          <w:szCs w:val="32"/>
          <w:u w:val="single"/>
        </w:rPr>
        <w:t>日印发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sectPr>
      <w:footerReference r:id="rId3"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YjUxNjA0ZWNiZWM0ODE5NjEzZjNmYTc1OTQ4MmIifQ=="/>
  </w:docVars>
  <w:rsids>
    <w:rsidRoot w:val="672F2454"/>
    <w:rsid w:val="000A7B7D"/>
    <w:rsid w:val="002D7B7B"/>
    <w:rsid w:val="003D7735"/>
    <w:rsid w:val="007F6C6F"/>
    <w:rsid w:val="00BC757B"/>
    <w:rsid w:val="02432B5C"/>
    <w:rsid w:val="025B1927"/>
    <w:rsid w:val="02CD3CF8"/>
    <w:rsid w:val="031F0D9E"/>
    <w:rsid w:val="03830824"/>
    <w:rsid w:val="04041910"/>
    <w:rsid w:val="0458580D"/>
    <w:rsid w:val="046D5CD4"/>
    <w:rsid w:val="04A73BAC"/>
    <w:rsid w:val="058B57F8"/>
    <w:rsid w:val="059565ED"/>
    <w:rsid w:val="05B617D5"/>
    <w:rsid w:val="05C84C14"/>
    <w:rsid w:val="05D15877"/>
    <w:rsid w:val="068E0BC9"/>
    <w:rsid w:val="06C46B12"/>
    <w:rsid w:val="06E67100"/>
    <w:rsid w:val="06FD5588"/>
    <w:rsid w:val="071B79A7"/>
    <w:rsid w:val="072F5CC4"/>
    <w:rsid w:val="077741FC"/>
    <w:rsid w:val="077C1812"/>
    <w:rsid w:val="07C42BE9"/>
    <w:rsid w:val="07DB478B"/>
    <w:rsid w:val="081D1247"/>
    <w:rsid w:val="084F2F2F"/>
    <w:rsid w:val="084F6F27"/>
    <w:rsid w:val="085F360E"/>
    <w:rsid w:val="08601134"/>
    <w:rsid w:val="08841607"/>
    <w:rsid w:val="08CE0793"/>
    <w:rsid w:val="08D203CF"/>
    <w:rsid w:val="08DF3B1D"/>
    <w:rsid w:val="09A43E33"/>
    <w:rsid w:val="0A157CFC"/>
    <w:rsid w:val="0A194DA5"/>
    <w:rsid w:val="0A512D5E"/>
    <w:rsid w:val="0A5B7E05"/>
    <w:rsid w:val="0B8D11B9"/>
    <w:rsid w:val="0BF24799"/>
    <w:rsid w:val="0C711D3F"/>
    <w:rsid w:val="0CF14A50"/>
    <w:rsid w:val="0CF307C8"/>
    <w:rsid w:val="0D0A2E5F"/>
    <w:rsid w:val="0D1644B7"/>
    <w:rsid w:val="0D377109"/>
    <w:rsid w:val="0DAE649D"/>
    <w:rsid w:val="0DCD726B"/>
    <w:rsid w:val="0DE6415C"/>
    <w:rsid w:val="0E1D584E"/>
    <w:rsid w:val="0E283FB3"/>
    <w:rsid w:val="0E2B6390"/>
    <w:rsid w:val="0E3746E5"/>
    <w:rsid w:val="0F422736"/>
    <w:rsid w:val="0F5F0397"/>
    <w:rsid w:val="0F7E0109"/>
    <w:rsid w:val="0F8E4CC1"/>
    <w:rsid w:val="0FE36B89"/>
    <w:rsid w:val="100B7ABF"/>
    <w:rsid w:val="103F3D25"/>
    <w:rsid w:val="104D01F0"/>
    <w:rsid w:val="110C00AB"/>
    <w:rsid w:val="113B4960"/>
    <w:rsid w:val="117B4E96"/>
    <w:rsid w:val="11CB5BB8"/>
    <w:rsid w:val="11D24F16"/>
    <w:rsid w:val="124C2979"/>
    <w:rsid w:val="127251BB"/>
    <w:rsid w:val="12B26A5D"/>
    <w:rsid w:val="12BF1420"/>
    <w:rsid w:val="12E60488"/>
    <w:rsid w:val="12F72695"/>
    <w:rsid w:val="13893C35"/>
    <w:rsid w:val="13CC6536"/>
    <w:rsid w:val="140B554B"/>
    <w:rsid w:val="14861F22"/>
    <w:rsid w:val="148D6B8D"/>
    <w:rsid w:val="14CB3766"/>
    <w:rsid w:val="15A5462A"/>
    <w:rsid w:val="15B17473"/>
    <w:rsid w:val="15D5211C"/>
    <w:rsid w:val="16210154"/>
    <w:rsid w:val="1680535C"/>
    <w:rsid w:val="16E64EFA"/>
    <w:rsid w:val="16ED01EE"/>
    <w:rsid w:val="1700420E"/>
    <w:rsid w:val="17033CFE"/>
    <w:rsid w:val="17081314"/>
    <w:rsid w:val="17285513"/>
    <w:rsid w:val="173D4772"/>
    <w:rsid w:val="175E0F34"/>
    <w:rsid w:val="17901D0B"/>
    <w:rsid w:val="17D9363D"/>
    <w:rsid w:val="1822750B"/>
    <w:rsid w:val="185606C7"/>
    <w:rsid w:val="18624A54"/>
    <w:rsid w:val="188D255C"/>
    <w:rsid w:val="18D67438"/>
    <w:rsid w:val="18F41B50"/>
    <w:rsid w:val="191B532F"/>
    <w:rsid w:val="191E4E1F"/>
    <w:rsid w:val="193164D5"/>
    <w:rsid w:val="19406B43"/>
    <w:rsid w:val="197504B7"/>
    <w:rsid w:val="197E65D9"/>
    <w:rsid w:val="1990114D"/>
    <w:rsid w:val="1A045DD9"/>
    <w:rsid w:val="1A216AB4"/>
    <w:rsid w:val="1A9E2476"/>
    <w:rsid w:val="1AA2738A"/>
    <w:rsid w:val="1AE856E5"/>
    <w:rsid w:val="1B45680D"/>
    <w:rsid w:val="1B642A5A"/>
    <w:rsid w:val="1B980FB3"/>
    <w:rsid w:val="1BA33EFE"/>
    <w:rsid w:val="1BB81DC4"/>
    <w:rsid w:val="1C13053F"/>
    <w:rsid w:val="1C2E2D06"/>
    <w:rsid w:val="1C795954"/>
    <w:rsid w:val="1C7A236C"/>
    <w:rsid w:val="1CA13D9D"/>
    <w:rsid w:val="1CE65C54"/>
    <w:rsid w:val="1CE96F1B"/>
    <w:rsid w:val="1CF00880"/>
    <w:rsid w:val="1D251028"/>
    <w:rsid w:val="1D2F75FB"/>
    <w:rsid w:val="1D57445C"/>
    <w:rsid w:val="1DB34780"/>
    <w:rsid w:val="1DD957B9"/>
    <w:rsid w:val="1E006518"/>
    <w:rsid w:val="1E2A1B70"/>
    <w:rsid w:val="1E566E09"/>
    <w:rsid w:val="1E7352C5"/>
    <w:rsid w:val="1EDD6BE3"/>
    <w:rsid w:val="1F4E37C5"/>
    <w:rsid w:val="1F5B0F8E"/>
    <w:rsid w:val="1F642E60"/>
    <w:rsid w:val="1F9F5FAA"/>
    <w:rsid w:val="1FDC7BDF"/>
    <w:rsid w:val="20784E15"/>
    <w:rsid w:val="209854B7"/>
    <w:rsid w:val="20CF69FF"/>
    <w:rsid w:val="210B5C89"/>
    <w:rsid w:val="21382767"/>
    <w:rsid w:val="214B42D7"/>
    <w:rsid w:val="21631BA2"/>
    <w:rsid w:val="2200503B"/>
    <w:rsid w:val="220D77DF"/>
    <w:rsid w:val="22D47832"/>
    <w:rsid w:val="23571659"/>
    <w:rsid w:val="237B0695"/>
    <w:rsid w:val="23945A57"/>
    <w:rsid w:val="239570C5"/>
    <w:rsid w:val="23983A20"/>
    <w:rsid w:val="23C8701D"/>
    <w:rsid w:val="23CE7442"/>
    <w:rsid w:val="24066BDB"/>
    <w:rsid w:val="242F51F8"/>
    <w:rsid w:val="24B649CC"/>
    <w:rsid w:val="24C63642"/>
    <w:rsid w:val="24EF58C2"/>
    <w:rsid w:val="25072C0B"/>
    <w:rsid w:val="25096983"/>
    <w:rsid w:val="25145D5F"/>
    <w:rsid w:val="251C3C80"/>
    <w:rsid w:val="25835FFF"/>
    <w:rsid w:val="25EB7E37"/>
    <w:rsid w:val="260D5FFF"/>
    <w:rsid w:val="26220B72"/>
    <w:rsid w:val="26417CC0"/>
    <w:rsid w:val="26485289"/>
    <w:rsid w:val="2655753A"/>
    <w:rsid w:val="2685028B"/>
    <w:rsid w:val="268A7650"/>
    <w:rsid w:val="26A76454"/>
    <w:rsid w:val="26D7200F"/>
    <w:rsid w:val="26EC030B"/>
    <w:rsid w:val="274A6DDF"/>
    <w:rsid w:val="276F48BE"/>
    <w:rsid w:val="27BC580C"/>
    <w:rsid w:val="27BE6941"/>
    <w:rsid w:val="28254F0A"/>
    <w:rsid w:val="28883C45"/>
    <w:rsid w:val="28AF339E"/>
    <w:rsid w:val="28E8552B"/>
    <w:rsid w:val="29020329"/>
    <w:rsid w:val="290A4A78"/>
    <w:rsid w:val="29995DFC"/>
    <w:rsid w:val="299A404E"/>
    <w:rsid w:val="29AD665B"/>
    <w:rsid w:val="29FD282F"/>
    <w:rsid w:val="2A4C2E6E"/>
    <w:rsid w:val="2A4E4E38"/>
    <w:rsid w:val="2B577D1D"/>
    <w:rsid w:val="2B7408CF"/>
    <w:rsid w:val="2B77216D"/>
    <w:rsid w:val="2B9F3B9D"/>
    <w:rsid w:val="2BE5357A"/>
    <w:rsid w:val="2BEB6DE3"/>
    <w:rsid w:val="2C2C11A9"/>
    <w:rsid w:val="2C4402A1"/>
    <w:rsid w:val="2C8608B9"/>
    <w:rsid w:val="2CD258AD"/>
    <w:rsid w:val="2CEF46B1"/>
    <w:rsid w:val="2CFA4E04"/>
    <w:rsid w:val="2D101E21"/>
    <w:rsid w:val="2DB15E0A"/>
    <w:rsid w:val="2E961941"/>
    <w:rsid w:val="2EDC2A13"/>
    <w:rsid w:val="2F152201"/>
    <w:rsid w:val="2F191FDC"/>
    <w:rsid w:val="2F313F3E"/>
    <w:rsid w:val="2F8E79CA"/>
    <w:rsid w:val="2FD63906"/>
    <w:rsid w:val="2FF95846"/>
    <w:rsid w:val="2FFA3A98"/>
    <w:rsid w:val="30E67B79"/>
    <w:rsid w:val="3102072B"/>
    <w:rsid w:val="310E5DFD"/>
    <w:rsid w:val="311F12DD"/>
    <w:rsid w:val="31472D15"/>
    <w:rsid w:val="31594FC2"/>
    <w:rsid w:val="31745184"/>
    <w:rsid w:val="319A167F"/>
    <w:rsid w:val="31F43EAE"/>
    <w:rsid w:val="31F97D80"/>
    <w:rsid w:val="32024E86"/>
    <w:rsid w:val="320329AC"/>
    <w:rsid w:val="323328D8"/>
    <w:rsid w:val="32AF043E"/>
    <w:rsid w:val="335B7C68"/>
    <w:rsid w:val="335C05C6"/>
    <w:rsid w:val="33644A2A"/>
    <w:rsid w:val="337C6572"/>
    <w:rsid w:val="338813BB"/>
    <w:rsid w:val="33EB46A2"/>
    <w:rsid w:val="34766006"/>
    <w:rsid w:val="349E4BCC"/>
    <w:rsid w:val="34F46778"/>
    <w:rsid w:val="34FA0097"/>
    <w:rsid w:val="3511718E"/>
    <w:rsid w:val="353F3780"/>
    <w:rsid w:val="359F29EC"/>
    <w:rsid w:val="36050AA1"/>
    <w:rsid w:val="36146AC7"/>
    <w:rsid w:val="36423E37"/>
    <w:rsid w:val="36464552"/>
    <w:rsid w:val="366B28CE"/>
    <w:rsid w:val="36897924"/>
    <w:rsid w:val="36B10284"/>
    <w:rsid w:val="36F8411F"/>
    <w:rsid w:val="372826FD"/>
    <w:rsid w:val="37405B09"/>
    <w:rsid w:val="37B502A5"/>
    <w:rsid w:val="383438BF"/>
    <w:rsid w:val="38491F9A"/>
    <w:rsid w:val="387347F2"/>
    <w:rsid w:val="38A77F26"/>
    <w:rsid w:val="38BE353C"/>
    <w:rsid w:val="38D26C34"/>
    <w:rsid w:val="38E946AA"/>
    <w:rsid w:val="390A586B"/>
    <w:rsid w:val="39180AEB"/>
    <w:rsid w:val="391934AE"/>
    <w:rsid w:val="39363667"/>
    <w:rsid w:val="396E4BAF"/>
    <w:rsid w:val="39A44A75"/>
    <w:rsid w:val="39DF3CFF"/>
    <w:rsid w:val="3A0A6D26"/>
    <w:rsid w:val="3A322081"/>
    <w:rsid w:val="3A606116"/>
    <w:rsid w:val="3A8679CE"/>
    <w:rsid w:val="3AF75534"/>
    <w:rsid w:val="3AFA0DF0"/>
    <w:rsid w:val="3B183024"/>
    <w:rsid w:val="3B3E40B5"/>
    <w:rsid w:val="3B787F67"/>
    <w:rsid w:val="3BF27339"/>
    <w:rsid w:val="3C0D06AF"/>
    <w:rsid w:val="3C145EE2"/>
    <w:rsid w:val="3C302B69"/>
    <w:rsid w:val="3C5C1637"/>
    <w:rsid w:val="3C84126C"/>
    <w:rsid w:val="3CF1701A"/>
    <w:rsid w:val="3CF67395"/>
    <w:rsid w:val="3CF8135F"/>
    <w:rsid w:val="3D007F65"/>
    <w:rsid w:val="3D65451B"/>
    <w:rsid w:val="3DE23AE2"/>
    <w:rsid w:val="3DE6565C"/>
    <w:rsid w:val="3EC55271"/>
    <w:rsid w:val="3ECA2280"/>
    <w:rsid w:val="3ECF25BD"/>
    <w:rsid w:val="3F74620D"/>
    <w:rsid w:val="3F8A64BB"/>
    <w:rsid w:val="400462AA"/>
    <w:rsid w:val="400E49F6"/>
    <w:rsid w:val="407526EF"/>
    <w:rsid w:val="40A47108"/>
    <w:rsid w:val="40B01F51"/>
    <w:rsid w:val="40D648D9"/>
    <w:rsid w:val="413606A8"/>
    <w:rsid w:val="414C1C7A"/>
    <w:rsid w:val="423A4637"/>
    <w:rsid w:val="425C5EED"/>
    <w:rsid w:val="4264630B"/>
    <w:rsid w:val="426F1810"/>
    <w:rsid w:val="438740F2"/>
    <w:rsid w:val="438F22F2"/>
    <w:rsid w:val="4392593E"/>
    <w:rsid w:val="43E4263E"/>
    <w:rsid w:val="447B63D2"/>
    <w:rsid w:val="44894F93"/>
    <w:rsid w:val="449B0822"/>
    <w:rsid w:val="45280308"/>
    <w:rsid w:val="452B604A"/>
    <w:rsid w:val="45523649"/>
    <w:rsid w:val="45684BA8"/>
    <w:rsid w:val="459C4852"/>
    <w:rsid w:val="468B5004"/>
    <w:rsid w:val="469B0FAE"/>
    <w:rsid w:val="46B362F7"/>
    <w:rsid w:val="47121270"/>
    <w:rsid w:val="472471F5"/>
    <w:rsid w:val="47451645"/>
    <w:rsid w:val="477912EF"/>
    <w:rsid w:val="477C0DDF"/>
    <w:rsid w:val="478D6B48"/>
    <w:rsid w:val="47AD71EA"/>
    <w:rsid w:val="47B642F1"/>
    <w:rsid w:val="47CD33E9"/>
    <w:rsid w:val="48637729"/>
    <w:rsid w:val="489B7043"/>
    <w:rsid w:val="48B620CF"/>
    <w:rsid w:val="48D507A7"/>
    <w:rsid w:val="48DD3AFF"/>
    <w:rsid w:val="49166683"/>
    <w:rsid w:val="495A0CAC"/>
    <w:rsid w:val="49AE6509"/>
    <w:rsid w:val="49CE54CC"/>
    <w:rsid w:val="49EA64D4"/>
    <w:rsid w:val="4A9D70A2"/>
    <w:rsid w:val="4AB16FF2"/>
    <w:rsid w:val="4B6127C6"/>
    <w:rsid w:val="4B843319"/>
    <w:rsid w:val="4BA95A93"/>
    <w:rsid w:val="4BF33D08"/>
    <w:rsid w:val="4C26756B"/>
    <w:rsid w:val="4C9269AF"/>
    <w:rsid w:val="4CD07C03"/>
    <w:rsid w:val="4D094EC3"/>
    <w:rsid w:val="4DA22C22"/>
    <w:rsid w:val="4E1B3100"/>
    <w:rsid w:val="4E760336"/>
    <w:rsid w:val="4EA807D6"/>
    <w:rsid w:val="4EAF55F6"/>
    <w:rsid w:val="4F6A16FD"/>
    <w:rsid w:val="4FB629B4"/>
    <w:rsid w:val="4FD55530"/>
    <w:rsid w:val="5023779D"/>
    <w:rsid w:val="503264DF"/>
    <w:rsid w:val="50463D38"/>
    <w:rsid w:val="5066262C"/>
    <w:rsid w:val="508036EE"/>
    <w:rsid w:val="50E21A58"/>
    <w:rsid w:val="50EB4242"/>
    <w:rsid w:val="50ED4DF5"/>
    <w:rsid w:val="51180D53"/>
    <w:rsid w:val="513E4DB5"/>
    <w:rsid w:val="515C42C6"/>
    <w:rsid w:val="51A72EFC"/>
    <w:rsid w:val="51AF590D"/>
    <w:rsid w:val="51CD705E"/>
    <w:rsid w:val="51D32AE5"/>
    <w:rsid w:val="51F003FF"/>
    <w:rsid w:val="51F06651"/>
    <w:rsid w:val="521C7446"/>
    <w:rsid w:val="52D7336D"/>
    <w:rsid w:val="530E3233"/>
    <w:rsid w:val="5334256E"/>
    <w:rsid w:val="53B06098"/>
    <w:rsid w:val="53BF452D"/>
    <w:rsid w:val="53DF24DA"/>
    <w:rsid w:val="53F103E9"/>
    <w:rsid w:val="5402266C"/>
    <w:rsid w:val="540D34EB"/>
    <w:rsid w:val="5411465D"/>
    <w:rsid w:val="543607D4"/>
    <w:rsid w:val="543D36A4"/>
    <w:rsid w:val="544A1CC6"/>
    <w:rsid w:val="54C005C6"/>
    <w:rsid w:val="552A3C28"/>
    <w:rsid w:val="554051FA"/>
    <w:rsid w:val="55AD4E60"/>
    <w:rsid w:val="56644F18"/>
    <w:rsid w:val="56C05B9A"/>
    <w:rsid w:val="56D73C32"/>
    <w:rsid w:val="57477FED"/>
    <w:rsid w:val="580C1D0B"/>
    <w:rsid w:val="58554CA4"/>
    <w:rsid w:val="58756E3B"/>
    <w:rsid w:val="58B303D9"/>
    <w:rsid w:val="59817AD4"/>
    <w:rsid w:val="59BD60F6"/>
    <w:rsid w:val="59BE0DE3"/>
    <w:rsid w:val="59C12681"/>
    <w:rsid w:val="59C4789C"/>
    <w:rsid w:val="59CD6E89"/>
    <w:rsid w:val="59D16D68"/>
    <w:rsid w:val="5A0031AA"/>
    <w:rsid w:val="5A3966BC"/>
    <w:rsid w:val="5ACC7530"/>
    <w:rsid w:val="5B287229"/>
    <w:rsid w:val="5B7E04B4"/>
    <w:rsid w:val="5BD963A8"/>
    <w:rsid w:val="5BF60D08"/>
    <w:rsid w:val="5C186ED1"/>
    <w:rsid w:val="5C5B0B6B"/>
    <w:rsid w:val="5C807C4B"/>
    <w:rsid w:val="5CD03423"/>
    <w:rsid w:val="5CD06788"/>
    <w:rsid w:val="5CF33D70"/>
    <w:rsid w:val="5D1A131A"/>
    <w:rsid w:val="5D613A03"/>
    <w:rsid w:val="5D7A7717"/>
    <w:rsid w:val="5DBC388C"/>
    <w:rsid w:val="5E7128C8"/>
    <w:rsid w:val="5EB01642"/>
    <w:rsid w:val="5EFF6126"/>
    <w:rsid w:val="5F4F0E5B"/>
    <w:rsid w:val="5F63571B"/>
    <w:rsid w:val="602A2A92"/>
    <w:rsid w:val="60640FCF"/>
    <w:rsid w:val="606C77EB"/>
    <w:rsid w:val="609D4FDA"/>
    <w:rsid w:val="60B139DE"/>
    <w:rsid w:val="60C43183"/>
    <w:rsid w:val="60E25345"/>
    <w:rsid w:val="60F15F42"/>
    <w:rsid w:val="61DE6482"/>
    <w:rsid w:val="61F23D20"/>
    <w:rsid w:val="62494338"/>
    <w:rsid w:val="628030DA"/>
    <w:rsid w:val="6286690E"/>
    <w:rsid w:val="628D3A49"/>
    <w:rsid w:val="633917A4"/>
    <w:rsid w:val="63A31ABD"/>
    <w:rsid w:val="63E77F30"/>
    <w:rsid w:val="64202DC6"/>
    <w:rsid w:val="6445311D"/>
    <w:rsid w:val="64DF082A"/>
    <w:rsid w:val="650D32B0"/>
    <w:rsid w:val="651F307E"/>
    <w:rsid w:val="66023352"/>
    <w:rsid w:val="6664741E"/>
    <w:rsid w:val="66660838"/>
    <w:rsid w:val="66A95FE3"/>
    <w:rsid w:val="66E20E10"/>
    <w:rsid w:val="670562A3"/>
    <w:rsid w:val="672F2454"/>
    <w:rsid w:val="67AC4971"/>
    <w:rsid w:val="67D85766"/>
    <w:rsid w:val="67F2167C"/>
    <w:rsid w:val="682D7860"/>
    <w:rsid w:val="68664B20"/>
    <w:rsid w:val="68994EF5"/>
    <w:rsid w:val="68B2290F"/>
    <w:rsid w:val="68BD32F1"/>
    <w:rsid w:val="68D51CA5"/>
    <w:rsid w:val="68F465CF"/>
    <w:rsid w:val="68FF75FC"/>
    <w:rsid w:val="69054339"/>
    <w:rsid w:val="6971484A"/>
    <w:rsid w:val="69BF0F41"/>
    <w:rsid w:val="69C75A92"/>
    <w:rsid w:val="69EF2BAC"/>
    <w:rsid w:val="6A415844"/>
    <w:rsid w:val="6A44114E"/>
    <w:rsid w:val="6A5D1F52"/>
    <w:rsid w:val="6A7378F7"/>
    <w:rsid w:val="6A892D47"/>
    <w:rsid w:val="6AB466DB"/>
    <w:rsid w:val="6ADD26BB"/>
    <w:rsid w:val="6B024B77"/>
    <w:rsid w:val="6C422D29"/>
    <w:rsid w:val="6C5C3601"/>
    <w:rsid w:val="6C6328E1"/>
    <w:rsid w:val="6C9A56E0"/>
    <w:rsid w:val="6CB9137A"/>
    <w:rsid w:val="6CE93F71"/>
    <w:rsid w:val="6CF92406"/>
    <w:rsid w:val="6D08234B"/>
    <w:rsid w:val="6D100065"/>
    <w:rsid w:val="6D945E2B"/>
    <w:rsid w:val="6D980015"/>
    <w:rsid w:val="6E657628"/>
    <w:rsid w:val="6E696063"/>
    <w:rsid w:val="6E810905"/>
    <w:rsid w:val="6E91666F"/>
    <w:rsid w:val="6F020147"/>
    <w:rsid w:val="6F4A519B"/>
    <w:rsid w:val="6FC91B22"/>
    <w:rsid w:val="700055FA"/>
    <w:rsid w:val="700E61C9"/>
    <w:rsid w:val="70342EC4"/>
    <w:rsid w:val="705F2A8F"/>
    <w:rsid w:val="70934920"/>
    <w:rsid w:val="709E31F4"/>
    <w:rsid w:val="70D80585"/>
    <w:rsid w:val="71AD1A11"/>
    <w:rsid w:val="720F5EEA"/>
    <w:rsid w:val="72170B4F"/>
    <w:rsid w:val="721E06EC"/>
    <w:rsid w:val="724F4877"/>
    <w:rsid w:val="72A9667D"/>
    <w:rsid w:val="72AB5F51"/>
    <w:rsid w:val="72C7796F"/>
    <w:rsid w:val="73797DFD"/>
    <w:rsid w:val="73E13BF4"/>
    <w:rsid w:val="740A4EF9"/>
    <w:rsid w:val="74244C1C"/>
    <w:rsid w:val="74456DE9"/>
    <w:rsid w:val="744D3E6A"/>
    <w:rsid w:val="745D7ABB"/>
    <w:rsid w:val="74AC7D5E"/>
    <w:rsid w:val="74D177C5"/>
    <w:rsid w:val="74F160B9"/>
    <w:rsid w:val="75243D99"/>
    <w:rsid w:val="75323AC2"/>
    <w:rsid w:val="753D30AC"/>
    <w:rsid w:val="75530B22"/>
    <w:rsid w:val="75635FA7"/>
    <w:rsid w:val="759C4277"/>
    <w:rsid w:val="75D32D8D"/>
    <w:rsid w:val="7610256F"/>
    <w:rsid w:val="761E2EDE"/>
    <w:rsid w:val="762322A2"/>
    <w:rsid w:val="763F1DBC"/>
    <w:rsid w:val="76982C90"/>
    <w:rsid w:val="76A71125"/>
    <w:rsid w:val="76B33626"/>
    <w:rsid w:val="76B655F1"/>
    <w:rsid w:val="76BB697E"/>
    <w:rsid w:val="76DB2AD5"/>
    <w:rsid w:val="770B16B4"/>
    <w:rsid w:val="7731279D"/>
    <w:rsid w:val="77490F94"/>
    <w:rsid w:val="77564FAD"/>
    <w:rsid w:val="77725AF6"/>
    <w:rsid w:val="77A86F03"/>
    <w:rsid w:val="77BA6C36"/>
    <w:rsid w:val="7820118F"/>
    <w:rsid w:val="78670AD6"/>
    <w:rsid w:val="7868219F"/>
    <w:rsid w:val="78770683"/>
    <w:rsid w:val="788039DC"/>
    <w:rsid w:val="7917515E"/>
    <w:rsid w:val="79501600"/>
    <w:rsid w:val="79815C5D"/>
    <w:rsid w:val="79887D2A"/>
    <w:rsid w:val="799534B7"/>
    <w:rsid w:val="799F60E4"/>
    <w:rsid w:val="79F23AD1"/>
    <w:rsid w:val="7A1A5B8A"/>
    <w:rsid w:val="7A3F0C49"/>
    <w:rsid w:val="7A513882"/>
    <w:rsid w:val="7B3A2568"/>
    <w:rsid w:val="7B6C6499"/>
    <w:rsid w:val="7B7E465F"/>
    <w:rsid w:val="7B875081"/>
    <w:rsid w:val="7BA94FF8"/>
    <w:rsid w:val="7C7835A9"/>
    <w:rsid w:val="7C7B7C1A"/>
    <w:rsid w:val="7C9C5CFE"/>
    <w:rsid w:val="7CCC3693"/>
    <w:rsid w:val="7CF130FA"/>
    <w:rsid w:val="7D230DDA"/>
    <w:rsid w:val="7D365956"/>
    <w:rsid w:val="7D773559"/>
    <w:rsid w:val="7DB06B11"/>
    <w:rsid w:val="7DC57EC6"/>
    <w:rsid w:val="7DDB02C3"/>
    <w:rsid w:val="7DF10ED8"/>
    <w:rsid w:val="7E307DA0"/>
    <w:rsid w:val="7E391A48"/>
    <w:rsid w:val="7E9A331D"/>
    <w:rsid w:val="7EAD7721"/>
    <w:rsid w:val="7F1378C9"/>
    <w:rsid w:val="7F2D4191"/>
    <w:rsid w:val="7F2F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3">
    <w:name w:val="Body Text"/>
    <w:basedOn w:val="1"/>
    <w:next w:val="4"/>
    <w:qFormat/>
    <w:uiPriority w:val="0"/>
    <w:pPr>
      <w:ind w:right="3625" w:rightChars="1726"/>
      <w:jc w:val="center"/>
    </w:pPr>
  </w:style>
  <w:style w:type="paragraph" w:styleId="4">
    <w:name w:val="Date"/>
    <w:basedOn w:val="1"/>
    <w:next w:val="1"/>
    <w:qFormat/>
    <w:uiPriority w:val="0"/>
    <w:pPr>
      <w:ind w:left="100" w:leftChars="2500"/>
    </w:pPr>
  </w:style>
  <w:style w:type="paragraph" w:styleId="5">
    <w:name w:val="Body Text Indent"/>
    <w:basedOn w:val="1"/>
    <w:qFormat/>
    <w:uiPriority w:val="0"/>
    <w:pPr>
      <w:spacing w:after="120" w:afterLines="0" w:afterAutospacing="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after="120" w:line="480" w:lineRule="auto"/>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qFormat/>
    <w:uiPriority w:val="0"/>
  </w:style>
  <w:style w:type="character" w:styleId="16">
    <w:name w:val="Hyperlink"/>
    <w:unhideWhenUsed/>
    <w:qFormat/>
    <w:uiPriority w:val="0"/>
    <w:rPr>
      <w:color w:val="0000FF"/>
      <w:u w:val="single"/>
    </w:rPr>
  </w:style>
  <w:style w:type="paragraph" w:customStyle="1" w:styleId="17">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1260</Words>
  <Characters>1333</Characters>
  <Lines>0</Lines>
  <Paragraphs>0</Paragraphs>
  <TotalTime>77</TotalTime>
  <ScaleCrop>false</ScaleCrop>
  <LinksUpToDate>false</LinksUpToDate>
  <CharactersWithSpaces>1435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2021-09-26T02:16:00Z</dcterms:created>
  <dc:creator>龙战黄泉</dc:creator>
  <cp:lastModifiedBy>Administrator</cp:lastModifiedBy>
  <cp:lastPrinted>2024-01-19T02:48:46Z</cp:lastPrinted>
  <dcterms:modified xsi:type="dcterms:W3CDTF">2024-01-19T03:53:30Z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6567B9D675E34974938EE007285BE30C_13</vt:lpwstr>
  </property>
</Properties>
</file>